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633E7" w14:textId="77777777" w:rsidR="00FF78B9" w:rsidRDefault="008D3B83">
      <w:pPr>
        <w:pStyle w:val="Heading1"/>
        <w:ind w:left="3672" w:right="3634"/>
        <w:jc w:val="center"/>
      </w:pPr>
      <w:r>
        <w:rPr>
          <w:u w:val="single"/>
        </w:rPr>
        <w:t>Letter of Intent</w:t>
      </w:r>
    </w:p>
    <w:p w14:paraId="36220AD2" w14:textId="77777777" w:rsidR="00FF78B9" w:rsidRDefault="00FF78B9">
      <w:pPr>
        <w:pStyle w:val="BodyText"/>
        <w:spacing w:before="3"/>
        <w:rPr>
          <w:b/>
          <w:sz w:val="14"/>
        </w:rPr>
      </w:pPr>
    </w:p>
    <w:p w14:paraId="5305F553" w14:textId="6C501326" w:rsidR="00FF78B9" w:rsidRDefault="008D3B83">
      <w:pPr>
        <w:spacing w:before="92"/>
        <w:ind w:left="459"/>
        <w:rPr>
          <w:b/>
        </w:rPr>
      </w:pPr>
      <w:r>
        <w:rPr>
          <w:b/>
        </w:rPr>
        <w:t xml:space="preserve">DATE: </w:t>
      </w:r>
      <w:r w:rsidR="00AA27CE">
        <w:rPr>
          <w:b/>
        </w:rPr>
        <w:t>12/4/</w:t>
      </w:r>
      <w:r>
        <w:rPr>
          <w:b/>
        </w:rPr>
        <w:t>2019</w:t>
      </w:r>
    </w:p>
    <w:p w14:paraId="26A16598" w14:textId="77777777" w:rsidR="00FF78B9" w:rsidRDefault="00FF78B9">
      <w:pPr>
        <w:pStyle w:val="BodyText"/>
        <w:rPr>
          <w:b/>
          <w:sz w:val="24"/>
        </w:rPr>
      </w:pPr>
    </w:p>
    <w:p w14:paraId="18C3360A" w14:textId="77777777" w:rsidR="00FF78B9" w:rsidRDefault="00FF78B9">
      <w:pPr>
        <w:pStyle w:val="BodyText"/>
        <w:rPr>
          <w:b/>
          <w:sz w:val="24"/>
        </w:rPr>
      </w:pPr>
    </w:p>
    <w:p w14:paraId="13FCCB7E" w14:textId="106A1DC1" w:rsidR="00FF78B9" w:rsidRDefault="008D3B83">
      <w:pPr>
        <w:tabs>
          <w:tab w:val="left" w:pos="1898"/>
        </w:tabs>
        <w:spacing w:before="203"/>
        <w:ind w:left="459"/>
      </w:pPr>
      <w:r>
        <w:rPr>
          <w:b/>
        </w:rPr>
        <w:t>Purchaser:</w:t>
      </w:r>
      <w:r>
        <w:rPr>
          <w:b/>
        </w:rPr>
        <w:tab/>
      </w:r>
      <w:r>
        <w:t xml:space="preserve">REM </w:t>
      </w:r>
      <w:r w:rsidR="00D834D5">
        <w:t>Capital Partners</w:t>
      </w:r>
      <w:r>
        <w:rPr>
          <w:spacing w:val="-4"/>
        </w:rPr>
        <w:t xml:space="preserve"> </w:t>
      </w:r>
      <w:r>
        <w:t>LLC</w:t>
      </w:r>
    </w:p>
    <w:p w14:paraId="6EF9620E" w14:textId="77777777" w:rsidR="00FF78B9" w:rsidRDefault="00FF78B9">
      <w:pPr>
        <w:pStyle w:val="BodyText"/>
        <w:rPr>
          <w:sz w:val="24"/>
        </w:rPr>
      </w:pPr>
    </w:p>
    <w:p w14:paraId="7033B1F0" w14:textId="28DF07A7" w:rsidR="00FF78B9" w:rsidRDefault="008D3B83">
      <w:pPr>
        <w:pStyle w:val="Heading1"/>
        <w:spacing w:before="207"/>
      </w:pPr>
      <w:r>
        <w:t xml:space="preserve">RE: </w:t>
      </w:r>
      <w:r w:rsidR="00D834D5">
        <w:t>The world’s great apartment complex name</w:t>
      </w:r>
      <w:r>
        <w:t xml:space="preserve"> (“the Property”)</w:t>
      </w:r>
    </w:p>
    <w:p w14:paraId="0A3E31F6" w14:textId="77777777" w:rsidR="00FF78B9" w:rsidRDefault="00FF78B9">
      <w:pPr>
        <w:pStyle w:val="BodyText"/>
        <w:rPr>
          <w:b/>
          <w:sz w:val="24"/>
        </w:rPr>
      </w:pPr>
    </w:p>
    <w:p w14:paraId="0F0F61E4" w14:textId="77777777" w:rsidR="00FF78B9" w:rsidRDefault="00FF78B9">
      <w:pPr>
        <w:pStyle w:val="BodyText"/>
        <w:rPr>
          <w:b/>
          <w:sz w:val="20"/>
        </w:rPr>
      </w:pPr>
    </w:p>
    <w:p w14:paraId="5C2B3228" w14:textId="77777777" w:rsidR="00FF78B9" w:rsidRDefault="008D3B83">
      <w:pPr>
        <w:pStyle w:val="BodyText"/>
        <w:ind w:left="459" w:right="415"/>
        <w:jc w:val="both"/>
      </w:pPr>
      <w:r>
        <w:t xml:space="preserve">This </w:t>
      </w:r>
      <w:r>
        <w:rPr>
          <w:b/>
        </w:rPr>
        <w:t xml:space="preserve">non-binding letter </w:t>
      </w:r>
      <w:r>
        <w:t>represents Purchaser’s intent to purchase the above captioned property</w:t>
      </w:r>
      <w:r>
        <w:rPr>
          <w:spacing w:val="-9"/>
        </w:rPr>
        <w:t xml:space="preserve"> </w:t>
      </w:r>
      <w:r>
        <w:t>(the</w:t>
      </w:r>
      <w:r>
        <w:rPr>
          <w:spacing w:val="-9"/>
        </w:rPr>
        <w:t xml:space="preserve"> </w:t>
      </w:r>
      <w:r>
        <w:t>“Property”)</w:t>
      </w:r>
      <w:r>
        <w:rPr>
          <w:spacing w:val="-9"/>
        </w:rPr>
        <w:t xml:space="preserve"> </w:t>
      </w:r>
      <w:r>
        <w:t>including</w:t>
      </w:r>
      <w:r>
        <w:rPr>
          <w:spacing w:val="-9"/>
        </w:rPr>
        <w:t xml:space="preserve"> </w:t>
      </w:r>
      <w:r>
        <w:t>the</w:t>
      </w:r>
      <w:r>
        <w:rPr>
          <w:spacing w:val="-9"/>
        </w:rPr>
        <w:t xml:space="preserve"> </w:t>
      </w:r>
      <w:r>
        <w:t>land</w:t>
      </w:r>
      <w:r>
        <w:rPr>
          <w:spacing w:val="-9"/>
        </w:rPr>
        <w:t xml:space="preserve"> </w:t>
      </w:r>
      <w:r>
        <w:t>and</w:t>
      </w:r>
      <w:r>
        <w:rPr>
          <w:spacing w:val="-8"/>
        </w:rPr>
        <w:t xml:space="preserve"> </w:t>
      </w:r>
      <w:r>
        <w:t>improvements</w:t>
      </w:r>
      <w:r>
        <w:rPr>
          <w:spacing w:val="-9"/>
        </w:rPr>
        <w:t xml:space="preserve"> </w:t>
      </w:r>
      <w:r>
        <w:t>on</w:t>
      </w:r>
      <w:r>
        <w:rPr>
          <w:spacing w:val="-9"/>
        </w:rPr>
        <w:t xml:space="preserve"> </w:t>
      </w:r>
      <w:r>
        <w:t>the</w:t>
      </w:r>
      <w:r>
        <w:rPr>
          <w:spacing w:val="-9"/>
        </w:rPr>
        <w:t xml:space="preserve"> </w:t>
      </w:r>
      <w:r>
        <w:t>following</w:t>
      </w:r>
      <w:r>
        <w:rPr>
          <w:spacing w:val="-9"/>
        </w:rPr>
        <w:t xml:space="preserve"> </w:t>
      </w:r>
      <w:r>
        <w:t>terms</w:t>
      </w:r>
      <w:r>
        <w:rPr>
          <w:spacing w:val="-9"/>
        </w:rPr>
        <w:t xml:space="preserve"> </w:t>
      </w:r>
      <w:r>
        <w:t>and conditions:</w:t>
      </w:r>
    </w:p>
    <w:p w14:paraId="00300991" w14:textId="77777777" w:rsidR="00FF78B9" w:rsidRDefault="00FF78B9">
      <w:pPr>
        <w:pStyle w:val="BodyText"/>
        <w:spacing w:before="1"/>
      </w:pPr>
    </w:p>
    <w:p w14:paraId="4DEBBBC5" w14:textId="4C31FDD5" w:rsidR="00FF78B9" w:rsidRDefault="008D3B83">
      <w:pPr>
        <w:tabs>
          <w:tab w:val="left" w:pos="2618"/>
        </w:tabs>
        <w:ind w:left="459"/>
        <w:jc w:val="both"/>
      </w:pPr>
      <w:r>
        <w:rPr>
          <w:b/>
        </w:rPr>
        <w:t>Price:</w:t>
      </w:r>
      <w:r>
        <w:rPr>
          <w:b/>
        </w:rPr>
        <w:tab/>
      </w:r>
      <w:r>
        <w:t>$</w:t>
      </w:r>
      <w:r w:rsidR="00AA27CE">
        <w:t>15,150</w:t>
      </w:r>
      <w:r>
        <w:t>,000.00</w:t>
      </w:r>
    </w:p>
    <w:p w14:paraId="678F41F7" w14:textId="77777777" w:rsidR="00FF78B9" w:rsidRDefault="00FF78B9">
      <w:pPr>
        <w:pStyle w:val="BodyText"/>
      </w:pPr>
    </w:p>
    <w:p w14:paraId="7DE2A14E" w14:textId="3F725A47" w:rsidR="00FF78B9" w:rsidRDefault="008D3B83">
      <w:pPr>
        <w:pStyle w:val="BodyText"/>
        <w:tabs>
          <w:tab w:val="left" w:pos="2618"/>
        </w:tabs>
        <w:spacing w:line="237" w:lineRule="auto"/>
        <w:ind w:left="2619" w:right="421" w:hanging="2160"/>
        <w:rPr>
          <w:sz w:val="24"/>
        </w:rPr>
      </w:pPr>
      <w:r>
        <w:rPr>
          <w:b/>
        </w:rPr>
        <w:t>Financing:</w:t>
      </w:r>
      <w:r>
        <w:rPr>
          <w:b/>
        </w:rPr>
        <w:tab/>
      </w:r>
      <w:r>
        <w:t xml:space="preserve">Purchaser intends to </w:t>
      </w:r>
      <w:r w:rsidR="00AA27CE">
        <w:t>assume sellers existing loan of $11,100,000</w:t>
      </w:r>
      <w:r>
        <w:rPr>
          <w:sz w:val="24"/>
        </w:rPr>
        <w:t>.</w:t>
      </w:r>
    </w:p>
    <w:p w14:paraId="20FE3C86" w14:textId="0A77329F" w:rsidR="004C2448" w:rsidRDefault="004C2448" w:rsidP="004C2448">
      <w:pPr>
        <w:pStyle w:val="BodyText"/>
        <w:tabs>
          <w:tab w:val="left" w:pos="2618"/>
        </w:tabs>
        <w:spacing w:line="237" w:lineRule="auto"/>
        <w:ind w:right="421"/>
        <w:rPr>
          <w:sz w:val="24"/>
        </w:rPr>
      </w:pPr>
    </w:p>
    <w:p w14:paraId="19DDA148" w14:textId="3AAB8483" w:rsidR="004C2448" w:rsidRPr="004C2448" w:rsidRDefault="004C2448" w:rsidP="004C2448">
      <w:pPr>
        <w:pStyle w:val="BodyText"/>
        <w:tabs>
          <w:tab w:val="left" w:pos="2618"/>
        </w:tabs>
        <w:spacing w:line="237" w:lineRule="auto"/>
        <w:ind w:left="2618" w:right="421"/>
      </w:pPr>
      <w:r w:rsidRPr="004C2448">
        <w:t xml:space="preserve">Loan Assumption Fee to be paid to Bellwether within </w:t>
      </w:r>
      <w:r>
        <w:t>one (</w:t>
      </w:r>
      <w:r w:rsidRPr="004C2448">
        <w:t>1</w:t>
      </w:r>
      <w:r>
        <w:t>)</w:t>
      </w:r>
      <w:r w:rsidRPr="004C2448">
        <w:t xml:space="preserve"> day following the removal of the physical inspection contingency </w:t>
      </w:r>
    </w:p>
    <w:p w14:paraId="7A5321D9" w14:textId="77777777" w:rsidR="00FF78B9" w:rsidRDefault="00FF78B9">
      <w:pPr>
        <w:pStyle w:val="BodyText"/>
        <w:spacing w:before="3"/>
      </w:pPr>
    </w:p>
    <w:p w14:paraId="62466D0D" w14:textId="145650A5" w:rsidR="00FF78B9" w:rsidRPr="00370E63" w:rsidRDefault="008D3B83" w:rsidP="00370E63">
      <w:pPr>
        <w:pStyle w:val="BodyText"/>
        <w:tabs>
          <w:tab w:val="left" w:pos="2618"/>
        </w:tabs>
        <w:spacing w:before="1"/>
        <w:ind w:left="2619" w:right="418" w:hanging="2160"/>
        <w:jc w:val="both"/>
        <w:rPr>
          <w:b/>
        </w:rPr>
      </w:pPr>
      <w:r>
        <w:rPr>
          <w:b/>
        </w:rPr>
        <w:t>Earnest</w:t>
      </w:r>
      <w:r>
        <w:rPr>
          <w:b/>
          <w:spacing w:val="-3"/>
        </w:rPr>
        <w:t xml:space="preserve"> </w:t>
      </w:r>
      <w:r>
        <w:rPr>
          <w:b/>
        </w:rPr>
        <w:t>Money:</w:t>
      </w:r>
      <w:r>
        <w:rPr>
          <w:b/>
        </w:rPr>
        <w:tab/>
      </w:r>
      <w:r w:rsidR="00370E63" w:rsidRPr="00FD2341">
        <w:rPr>
          <w:color w:val="222222"/>
          <w:shd w:val="clear" w:color="auto" w:fill="FFFFFF"/>
        </w:rPr>
        <w:t xml:space="preserve">Concurrently with full execution of a Purchase &amp; Sale Agreement, Purchaser shall make a non-refundable deposit (“The Initial Deposit”) with a mutually agreed upon escrow agent in the amount of USD </w:t>
      </w:r>
      <w:r w:rsidR="00370E63" w:rsidRPr="00370E63">
        <w:rPr>
          <w:color w:val="222222"/>
          <w:shd w:val="clear" w:color="auto" w:fill="FFFFFF"/>
        </w:rPr>
        <w:t xml:space="preserve">$151,500.00 </w:t>
      </w:r>
      <w:r w:rsidR="00370E63" w:rsidRPr="00FD2341">
        <w:rPr>
          <w:color w:val="222222"/>
          <w:shd w:val="clear" w:color="auto" w:fill="FFFFFF"/>
        </w:rPr>
        <w:t>to be held in escrow and applied to the purchase price at closing.</w:t>
      </w:r>
      <w:r w:rsidR="00370E63" w:rsidRPr="00FD2341">
        <w:rPr>
          <w:color w:val="222222"/>
          <w:szCs w:val="18"/>
          <w:shd w:val="clear" w:color="auto" w:fill="FFFFFF"/>
        </w:rPr>
        <w:t xml:space="preserve"> </w:t>
      </w:r>
      <w:r w:rsidR="00370E63" w:rsidRPr="00FD2341">
        <w:rPr>
          <w:color w:val="222222"/>
          <w:shd w:val="clear" w:color="auto" w:fill="FFFFFF"/>
        </w:rPr>
        <w:t xml:space="preserve"> On expiration of the </w:t>
      </w:r>
      <w:r w:rsidR="00370E63">
        <w:rPr>
          <w:color w:val="222222"/>
          <w:shd w:val="clear" w:color="auto" w:fill="FFFFFF"/>
        </w:rPr>
        <w:t>Due Diligence,</w:t>
      </w:r>
      <w:r w:rsidR="00370E63" w:rsidRPr="00FD2341">
        <w:rPr>
          <w:color w:val="222222"/>
          <w:shd w:val="clear" w:color="auto" w:fill="FFFFFF"/>
        </w:rPr>
        <w:t xml:space="preserve"> Buyer will pay a further </w:t>
      </w:r>
      <w:r w:rsidR="00370E63">
        <w:t xml:space="preserve">$151,500.00 </w:t>
      </w:r>
      <w:r w:rsidR="00370E63" w:rsidRPr="00FD2341">
        <w:rPr>
          <w:color w:val="222222"/>
          <w:shd w:val="clear" w:color="auto" w:fill="FFFFFF"/>
        </w:rPr>
        <w:t>deposit towards the purchase price and the combined $</w:t>
      </w:r>
      <w:r w:rsidR="00370E63">
        <w:rPr>
          <w:color w:val="222222"/>
          <w:shd w:val="clear" w:color="auto" w:fill="FFFFFF"/>
        </w:rPr>
        <w:t>303,000</w:t>
      </w:r>
      <w:r w:rsidR="00370E63" w:rsidRPr="00FD2341">
        <w:rPr>
          <w:color w:val="222222"/>
          <w:shd w:val="clear" w:color="auto" w:fill="FFFFFF"/>
        </w:rPr>
        <w:t>.00 will be fully non-refundable</w:t>
      </w:r>
    </w:p>
    <w:p w14:paraId="42D2893A" w14:textId="77777777" w:rsidR="00FF78B9" w:rsidRDefault="00FF78B9">
      <w:pPr>
        <w:pStyle w:val="BodyText"/>
      </w:pPr>
    </w:p>
    <w:p w14:paraId="21E7596D" w14:textId="3ECE5C74" w:rsidR="00FF78B9" w:rsidRDefault="008D3B83">
      <w:pPr>
        <w:pStyle w:val="BodyText"/>
        <w:tabs>
          <w:tab w:val="left" w:pos="2618"/>
        </w:tabs>
        <w:spacing w:before="1"/>
        <w:ind w:left="2619" w:right="418" w:hanging="2160"/>
        <w:jc w:val="both"/>
      </w:pPr>
      <w:r>
        <w:rPr>
          <w:b/>
        </w:rPr>
        <w:t>Due</w:t>
      </w:r>
      <w:r>
        <w:rPr>
          <w:b/>
          <w:spacing w:val="-3"/>
        </w:rPr>
        <w:t xml:space="preserve"> </w:t>
      </w:r>
      <w:r>
        <w:rPr>
          <w:b/>
        </w:rPr>
        <w:t>Diligence:</w:t>
      </w:r>
      <w:r>
        <w:rPr>
          <w:b/>
        </w:rPr>
        <w:tab/>
      </w:r>
      <w:r>
        <w:t>Purchaser shall have 10 business days due diligence period from the</w:t>
      </w:r>
      <w:r>
        <w:rPr>
          <w:spacing w:val="-16"/>
        </w:rPr>
        <w:t xml:space="preserve"> </w:t>
      </w:r>
      <w:r>
        <w:t>time</w:t>
      </w:r>
      <w:r>
        <w:rPr>
          <w:spacing w:val="-17"/>
        </w:rPr>
        <w:t xml:space="preserve"> </w:t>
      </w:r>
      <w:r>
        <w:t>of</w:t>
      </w:r>
      <w:r>
        <w:rPr>
          <w:spacing w:val="-16"/>
        </w:rPr>
        <w:t xml:space="preserve"> </w:t>
      </w:r>
      <w:r>
        <w:t>the</w:t>
      </w:r>
      <w:r>
        <w:rPr>
          <w:spacing w:val="-16"/>
        </w:rPr>
        <w:t xml:space="preserve"> </w:t>
      </w:r>
      <w:r>
        <w:t>execution</w:t>
      </w:r>
      <w:r>
        <w:rPr>
          <w:spacing w:val="-16"/>
        </w:rPr>
        <w:t xml:space="preserve"> </w:t>
      </w:r>
      <w:r>
        <w:t>of</w:t>
      </w:r>
      <w:r>
        <w:rPr>
          <w:spacing w:val="-16"/>
        </w:rPr>
        <w:t xml:space="preserve"> </w:t>
      </w:r>
      <w:r>
        <w:t>a</w:t>
      </w:r>
      <w:r>
        <w:rPr>
          <w:spacing w:val="-15"/>
        </w:rPr>
        <w:t xml:space="preserve"> </w:t>
      </w:r>
      <w:r>
        <w:t>formal</w:t>
      </w:r>
      <w:r>
        <w:rPr>
          <w:spacing w:val="-16"/>
        </w:rPr>
        <w:t xml:space="preserve"> </w:t>
      </w:r>
      <w:r>
        <w:t>Purchase</w:t>
      </w:r>
      <w:r>
        <w:rPr>
          <w:spacing w:val="-16"/>
        </w:rPr>
        <w:t xml:space="preserve"> </w:t>
      </w:r>
      <w:r>
        <w:t>and</w:t>
      </w:r>
      <w:r>
        <w:rPr>
          <w:spacing w:val="-15"/>
        </w:rPr>
        <w:t xml:space="preserve"> </w:t>
      </w:r>
      <w:r>
        <w:t>Sale</w:t>
      </w:r>
      <w:r>
        <w:rPr>
          <w:spacing w:val="-16"/>
        </w:rPr>
        <w:t xml:space="preserve"> </w:t>
      </w:r>
      <w:r>
        <w:t>Agreement and receipt of relevant</w:t>
      </w:r>
      <w:r>
        <w:rPr>
          <w:spacing w:val="-6"/>
        </w:rPr>
        <w:t xml:space="preserve"> </w:t>
      </w:r>
      <w:r>
        <w:t>documents.</w:t>
      </w:r>
    </w:p>
    <w:p w14:paraId="0DBDB2D9" w14:textId="4182E71A" w:rsidR="004C2448" w:rsidRDefault="004C2448">
      <w:pPr>
        <w:pStyle w:val="BodyText"/>
        <w:tabs>
          <w:tab w:val="left" w:pos="2618"/>
        </w:tabs>
        <w:spacing w:before="1"/>
        <w:ind w:left="2619" w:right="418" w:hanging="2160"/>
        <w:jc w:val="both"/>
      </w:pPr>
    </w:p>
    <w:p w14:paraId="55E8BA18" w14:textId="7A2A2FA2" w:rsidR="004C2448" w:rsidRDefault="004C2448">
      <w:pPr>
        <w:pStyle w:val="BodyText"/>
        <w:tabs>
          <w:tab w:val="left" w:pos="2618"/>
        </w:tabs>
        <w:spacing w:before="1"/>
        <w:ind w:left="2619" w:right="418" w:hanging="2160"/>
        <w:jc w:val="both"/>
      </w:pPr>
      <w:r>
        <w:tab/>
        <w:t>Seller to provide all books and record items within 1 business day of effective contract date</w:t>
      </w:r>
    </w:p>
    <w:p w14:paraId="435E7EE4" w14:textId="77777777" w:rsidR="00FF78B9" w:rsidRDefault="00FF78B9">
      <w:pPr>
        <w:pStyle w:val="BodyText"/>
      </w:pPr>
    </w:p>
    <w:p w14:paraId="53E98929" w14:textId="754CF5FD" w:rsidR="00370E63" w:rsidRDefault="008D3B83" w:rsidP="00370E63">
      <w:pPr>
        <w:pStyle w:val="BodyText"/>
        <w:tabs>
          <w:tab w:val="left" w:pos="2618"/>
        </w:tabs>
        <w:ind w:left="2619" w:right="717" w:hanging="2160"/>
      </w:pPr>
      <w:r>
        <w:rPr>
          <w:b/>
        </w:rPr>
        <w:t>Title</w:t>
      </w:r>
      <w:r>
        <w:rPr>
          <w:b/>
          <w:spacing w:val="-4"/>
        </w:rPr>
        <w:t xml:space="preserve"> </w:t>
      </w:r>
      <w:r>
        <w:rPr>
          <w:b/>
        </w:rPr>
        <w:t>Contingency:</w:t>
      </w:r>
      <w:r>
        <w:rPr>
          <w:b/>
        </w:rPr>
        <w:tab/>
      </w:r>
      <w:r>
        <w:t>Seller shall be ready, willing and able to deliver free and clear title to the Property at closing, subject to standard title exceptions acceptable to</w:t>
      </w:r>
      <w:r>
        <w:rPr>
          <w:spacing w:val="-5"/>
        </w:rPr>
        <w:t xml:space="preserve"> </w:t>
      </w:r>
      <w:r>
        <w:t>Purchaser.</w:t>
      </w:r>
      <w:r w:rsidR="00370E63">
        <w:t xml:space="preserve"> </w:t>
      </w:r>
    </w:p>
    <w:p w14:paraId="315C5502" w14:textId="35BF6609" w:rsidR="00370E63" w:rsidRDefault="00370E63">
      <w:pPr>
        <w:pStyle w:val="BodyText"/>
        <w:tabs>
          <w:tab w:val="left" w:pos="2618"/>
        </w:tabs>
        <w:ind w:left="2619" w:right="717" w:hanging="2160"/>
      </w:pPr>
      <w:r>
        <w:tab/>
      </w:r>
    </w:p>
    <w:p w14:paraId="0ABA3832" w14:textId="33CE4571" w:rsidR="00370E63" w:rsidRDefault="00370E63">
      <w:pPr>
        <w:pStyle w:val="BodyText"/>
        <w:tabs>
          <w:tab w:val="left" w:pos="2618"/>
        </w:tabs>
        <w:ind w:left="2619" w:right="717" w:hanging="2160"/>
      </w:pPr>
      <w:r>
        <w:tab/>
        <w:t xml:space="preserve">Purchaser and Seller agree to use Prominent Title Company. </w:t>
      </w:r>
    </w:p>
    <w:p w14:paraId="22069CE8" w14:textId="77777777" w:rsidR="00FF78B9" w:rsidRDefault="00FF78B9">
      <w:pPr>
        <w:pStyle w:val="BodyText"/>
        <w:spacing w:before="1"/>
      </w:pPr>
    </w:p>
    <w:p w14:paraId="72BE22C8" w14:textId="0B4AE0DD" w:rsidR="00FF78B9" w:rsidRDefault="008D3B83">
      <w:pPr>
        <w:pStyle w:val="BodyText"/>
        <w:tabs>
          <w:tab w:val="left" w:pos="2618"/>
        </w:tabs>
        <w:ind w:left="2619" w:right="416" w:hanging="2160"/>
        <w:jc w:val="both"/>
      </w:pPr>
      <w:r>
        <w:rPr>
          <w:b/>
        </w:rPr>
        <w:t>Closing:</w:t>
      </w:r>
      <w:r>
        <w:rPr>
          <w:b/>
        </w:rPr>
        <w:tab/>
      </w:r>
      <w:r>
        <w:t xml:space="preserve">Closing shall occur after completion of due diligence period on a date agreed to by Purchaser and Seller and further detailed in the Purchase and Sale Agreement. </w:t>
      </w:r>
      <w:r w:rsidR="004C2448">
        <w:t xml:space="preserve">Close shall occur 15 days after the final approval of loan assumption from Bellwether, closing shall not take place any sooner that 60 days from execution of formal Purchase and Sale Agreement. </w:t>
      </w:r>
    </w:p>
    <w:p w14:paraId="12EA7452" w14:textId="77777777" w:rsidR="00187D84" w:rsidRDefault="00370E63">
      <w:pPr>
        <w:pStyle w:val="BodyText"/>
        <w:tabs>
          <w:tab w:val="left" w:pos="2618"/>
        </w:tabs>
        <w:ind w:left="2619" w:right="416" w:hanging="2160"/>
        <w:jc w:val="both"/>
        <w:rPr>
          <w:b/>
        </w:rPr>
      </w:pPr>
      <w:r>
        <w:rPr>
          <w:b/>
        </w:rPr>
        <w:tab/>
      </w:r>
    </w:p>
    <w:p w14:paraId="52A12579" w14:textId="477D290F" w:rsidR="00370E63" w:rsidRPr="00370E63" w:rsidRDefault="00187D84">
      <w:pPr>
        <w:pStyle w:val="BodyText"/>
        <w:tabs>
          <w:tab w:val="left" w:pos="2618"/>
        </w:tabs>
        <w:ind w:left="2619" w:right="416" w:hanging="2160"/>
        <w:jc w:val="both"/>
        <w:rPr>
          <w:bCs/>
        </w:rPr>
      </w:pPr>
      <w:r>
        <w:rPr>
          <w:b/>
        </w:rPr>
        <w:tab/>
      </w:r>
      <w:r w:rsidR="00370E63" w:rsidRPr="00370E63">
        <w:rPr>
          <w:bCs/>
        </w:rPr>
        <w:t>Purchaser and Seller agree to a one (1) time 15-day optional extension for closing</w:t>
      </w:r>
    </w:p>
    <w:p w14:paraId="03493CD5" w14:textId="77777777" w:rsidR="00FF78B9" w:rsidRDefault="00FF78B9">
      <w:pPr>
        <w:pStyle w:val="BodyText"/>
        <w:spacing w:before="9"/>
        <w:rPr>
          <w:sz w:val="21"/>
        </w:rPr>
      </w:pPr>
    </w:p>
    <w:p w14:paraId="03ED5148" w14:textId="77777777" w:rsidR="00370E63" w:rsidRDefault="008D3B83">
      <w:pPr>
        <w:pStyle w:val="BodyText"/>
        <w:tabs>
          <w:tab w:val="left" w:pos="2618"/>
        </w:tabs>
        <w:ind w:left="2619" w:right="612" w:hanging="2160"/>
      </w:pPr>
      <w:r>
        <w:rPr>
          <w:b/>
        </w:rPr>
        <w:t>Closing</w:t>
      </w:r>
      <w:r>
        <w:rPr>
          <w:b/>
          <w:spacing w:val="-3"/>
        </w:rPr>
        <w:t xml:space="preserve"> </w:t>
      </w:r>
      <w:r>
        <w:rPr>
          <w:b/>
        </w:rPr>
        <w:t>Costs:</w:t>
      </w:r>
      <w:r>
        <w:rPr>
          <w:b/>
        </w:rPr>
        <w:tab/>
      </w:r>
      <w:r w:rsidR="00370E63">
        <w:t>Purchaser</w:t>
      </w:r>
      <w:r>
        <w:t xml:space="preserve"> shall pay the cost of obtaining a title commitment and an owner’s policy of title insurance. </w:t>
      </w:r>
    </w:p>
    <w:p w14:paraId="26A26E71" w14:textId="77777777" w:rsidR="00370E63" w:rsidRDefault="00370E63">
      <w:pPr>
        <w:pStyle w:val="BodyText"/>
        <w:tabs>
          <w:tab w:val="left" w:pos="2618"/>
        </w:tabs>
        <w:ind w:left="2619" w:right="612" w:hanging="2160"/>
      </w:pPr>
    </w:p>
    <w:p w14:paraId="2BAF79B1" w14:textId="4073ACE8" w:rsidR="00FF78B9" w:rsidRDefault="00370E63">
      <w:pPr>
        <w:pStyle w:val="BodyText"/>
        <w:tabs>
          <w:tab w:val="left" w:pos="2618"/>
        </w:tabs>
        <w:ind w:left="2619" w:right="612" w:hanging="2160"/>
      </w:pPr>
      <w:r>
        <w:tab/>
      </w:r>
      <w:r w:rsidR="008D3B83">
        <w:t>Seller shall pay for documentary stamps on the deed conveying the Property to Purchaser.</w:t>
      </w:r>
    </w:p>
    <w:p w14:paraId="05DC4BA1" w14:textId="77777777" w:rsidR="00FF78B9" w:rsidRDefault="00FF78B9">
      <w:pPr>
        <w:pStyle w:val="BodyText"/>
        <w:spacing w:before="2"/>
      </w:pPr>
    </w:p>
    <w:p w14:paraId="6F4E1F2D" w14:textId="3CA72E75" w:rsidR="00FF78B9" w:rsidRDefault="008D3B83">
      <w:pPr>
        <w:pStyle w:val="BodyText"/>
        <w:spacing w:before="1"/>
        <w:ind w:left="2619" w:right="418" w:hanging="2160"/>
        <w:jc w:val="both"/>
      </w:pPr>
      <w:r>
        <w:rPr>
          <w:b/>
        </w:rPr>
        <w:t xml:space="preserve">Purchase Contract: </w:t>
      </w:r>
      <w:r w:rsidR="00AA27CE">
        <w:rPr>
          <w:b/>
        </w:rPr>
        <w:tab/>
      </w:r>
      <w:r>
        <w:t>Pending receipt of sufficient information from Seller, Purchaser shall have (5) business days from mutual execution of this Letter of Intent agreement to submit a purchase and sale agreement.</w:t>
      </w:r>
    </w:p>
    <w:p w14:paraId="74AE20F5" w14:textId="57334AC4" w:rsidR="004C2448" w:rsidRDefault="004C2448">
      <w:pPr>
        <w:pStyle w:val="BodyText"/>
        <w:spacing w:before="1"/>
        <w:ind w:left="2619" w:right="418" w:hanging="2160"/>
        <w:jc w:val="both"/>
      </w:pPr>
    </w:p>
    <w:p w14:paraId="65C83377" w14:textId="78AC0D94" w:rsidR="004C2448" w:rsidRDefault="004C2448">
      <w:pPr>
        <w:pStyle w:val="BodyText"/>
        <w:spacing w:before="1"/>
        <w:ind w:left="2619" w:right="418" w:hanging="2160"/>
        <w:jc w:val="both"/>
      </w:pPr>
    </w:p>
    <w:p w14:paraId="6B26B84A" w14:textId="4778D1F0" w:rsidR="004C2448" w:rsidRDefault="004C2448" w:rsidP="00370E63">
      <w:pPr>
        <w:pStyle w:val="BodyText"/>
        <w:spacing w:before="1"/>
        <w:ind w:right="418"/>
        <w:jc w:val="both"/>
      </w:pPr>
    </w:p>
    <w:p w14:paraId="21A46E5D" w14:textId="66141C47" w:rsidR="00E00172" w:rsidRDefault="00E00172" w:rsidP="00E00172">
      <w:pPr>
        <w:pStyle w:val="BodyText"/>
        <w:spacing w:before="80"/>
        <w:ind w:right="415"/>
        <w:jc w:val="both"/>
      </w:pPr>
      <w:r>
        <w:t xml:space="preserve">This letter of intent is </w:t>
      </w:r>
      <w:r>
        <w:rPr>
          <w:b/>
        </w:rPr>
        <w:t xml:space="preserve">not intended </w:t>
      </w:r>
      <w:r>
        <w:t xml:space="preserve">to create a binding agreement on the Seller to sell or the Purchaser to buy. The purpose of this letter is to set forth the primary terms and conditions upon which to execute a formal Purchase and Sale Agreement. All other terms and conditions shall be negotiated in the formal Purchase and Sale Agreement. This letter of Intent is open for acceptance through </w:t>
      </w:r>
      <w:r w:rsidR="003410B8">
        <w:t>12/9</w:t>
      </w:r>
      <w:r>
        <w:t>/2019.</w:t>
      </w:r>
    </w:p>
    <w:p w14:paraId="3C2ABA62" w14:textId="77777777" w:rsidR="00E00172" w:rsidRDefault="00E00172" w:rsidP="00E00172">
      <w:pPr>
        <w:pStyle w:val="BodyText"/>
        <w:rPr>
          <w:sz w:val="24"/>
        </w:rPr>
      </w:pPr>
    </w:p>
    <w:p w14:paraId="4E3D035A" w14:textId="77777777" w:rsidR="00E00172" w:rsidRDefault="00E00172" w:rsidP="00E00172">
      <w:pPr>
        <w:pStyle w:val="BodyText"/>
        <w:spacing w:before="11"/>
        <w:rPr>
          <w:sz w:val="19"/>
        </w:rPr>
      </w:pPr>
    </w:p>
    <w:p w14:paraId="15B66944" w14:textId="7600D049" w:rsidR="00E00172" w:rsidRDefault="00E00172" w:rsidP="00E00172">
      <w:pPr>
        <w:pStyle w:val="BodyText"/>
        <w:ind w:left="459"/>
        <w:jc w:val="both"/>
      </w:pPr>
      <w:r>
        <w:t xml:space="preserve">PURCHASER: REM CAPITAL </w:t>
      </w:r>
      <w:r w:rsidR="00D834D5">
        <w:t xml:space="preserve"> PARTNERS </w:t>
      </w:r>
      <w:bookmarkStart w:id="0" w:name="_GoBack"/>
      <w:bookmarkEnd w:id="0"/>
      <w:r>
        <w:t>LLC</w:t>
      </w:r>
    </w:p>
    <w:p w14:paraId="11F119D1" w14:textId="77777777" w:rsidR="00E00172" w:rsidRDefault="00E00172" w:rsidP="00E00172">
      <w:pPr>
        <w:pStyle w:val="BodyText"/>
        <w:rPr>
          <w:sz w:val="24"/>
        </w:rPr>
      </w:pPr>
    </w:p>
    <w:p w14:paraId="69781EAC" w14:textId="77777777" w:rsidR="00E00172" w:rsidRDefault="00E00172" w:rsidP="00E00172">
      <w:pPr>
        <w:pStyle w:val="BodyText"/>
        <w:rPr>
          <w:sz w:val="24"/>
        </w:rPr>
      </w:pPr>
    </w:p>
    <w:p w14:paraId="403D8BB8" w14:textId="1C6F20EB" w:rsidR="00E00172" w:rsidRDefault="00E00172" w:rsidP="00E00172">
      <w:pPr>
        <w:tabs>
          <w:tab w:val="left" w:pos="1213"/>
          <w:tab w:val="left" w:pos="4241"/>
          <w:tab w:val="left" w:pos="5048"/>
          <w:tab w:val="left" w:pos="7395"/>
        </w:tabs>
        <w:spacing w:before="200" w:line="480" w:lineRule="auto"/>
        <w:ind w:left="458"/>
        <w:jc w:val="both"/>
        <w:rPr>
          <w:rFonts w:ascii="Arial"/>
          <w:sz w:val="14"/>
        </w:rPr>
      </w:pPr>
      <w:r>
        <w:rPr>
          <w:position w:val="-1"/>
        </w:rPr>
        <w:t>By:</w:t>
      </w:r>
      <w:r>
        <w:rPr>
          <w:position w:val="-1"/>
          <w:u w:val="single"/>
        </w:rPr>
        <w:t xml:space="preserve"> </w:t>
      </w:r>
      <w:r>
        <w:rPr>
          <w:position w:val="-1"/>
          <w:u w:val="single"/>
        </w:rPr>
        <w:tab/>
      </w:r>
      <w:r>
        <w:rPr>
          <w:position w:val="-1"/>
          <w:u w:val="single"/>
        </w:rPr>
        <w:tab/>
      </w:r>
      <w:r>
        <w:rPr>
          <w:position w:val="-1"/>
        </w:rPr>
        <w:tab/>
        <w:t>Date:</w:t>
      </w:r>
      <w:r>
        <w:rPr>
          <w:spacing w:val="-1"/>
        </w:rPr>
        <w:t>____________</w:t>
      </w:r>
    </w:p>
    <w:p w14:paraId="1425E684" w14:textId="77777777" w:rsidR="00E00172" w:rsidRDefault="00E00172" w:rsidP="00E00172">
      <w:pPr>
        <w:jc w:val="both"/>
        <w:rPr>
          <w:rFonts w:ascii="Arial"/>
          <w:sz w:val="14"/>
        </w:rPr>
        <w:sectPr w:rsidR="00E00172" w:rsidSect="00E00172">
          <w:type w:val="continuous"/>
          <w:pgSz w:w="12240" w:h="15840"/>
          <w:pgMar w:top="660" w:right="1720" w:bottom="960" w:left="1720" w:header="0" w:footer="774" w:gutter="0"/>
          <w:cols w:space="720"/>
        </w:sectPr>
      </w:pPr>
    </w:p>
    <w:p w14:paraId="0D09132C" w14:textId="57622ACB" w:rsidR="00E00172" w:rsidRDefault="00E00172" w:rsidP="00E00172">
      <w:pPr>
        <w:pStyle w:val="BodyText"/>
        <w:spacing w:before="5" w:line="360" w:lineRule="auto"/>
        <w:ind w:left="459"/>
      </w:pPr>
      <w:r>
        <w:t>Name:</w:t>
      </w:r>
    </w:p>
    <w:p w14:paraId="303141D2" w14:textId="77777777" w:rsidR="00E00172" w:rsidRDefault="00E00172" w:rsidP="00E00172">
      <w:pPr>
        <w:tabs>
          <w:tab w:val="left" w:pos="3149"/>
        </w:tabs>
        <w:spacing w:before="67" w:line="360" w:lineRule="auto"/>
        <w:ind w:left="69"/>
        <w:rPr>
          <w:rFonts w:ascii="Arial"/>
          <w:sz w:val="16"/>
        </w:rPr>
      </w:pPr>
      <w:r>
        <w:br w:type="column"/>
      </w:r>
      <w:r>
        <w:rPr>
          <w:rFonts w:ascii="Arial"/>
          <w:color w:val="010101"/>
          <w:sz w:val="16"/>
          <w:u w:val="single" w:color="000000"/>
        </w:rPr>
        <w:t xml:space="preserve"> </w:t>
      </w:r>
      <w:r>
        <w:rPr>
          <w:rFonts w:ascii="Arial"/>
          <w:color w:val="010101"/>
          <w:spacing w:val="-27"/>
          <w:sz w:val="16"/>
          <w:u w:val="single" w:color="000000"/>
        </w:rPr>
        <w:t xml:space="preserve"> </w:t>
      </w:r>
      <w:r>
        <w:rPr>
          <w:rFonts w:ascii="Arial"/>
          <w:color w:val="010101"/>
          <w:sz w:val="16"/>
          <w:u w:val="single" w:color="000000"/>
        </w:rPr>
        <w:tab/>
      </w:r>
    </w:p>
    <w:p w14:paraId="6CB6F006" w14:textId="77777777" w:rsidR="00E00172" w:rsidRDefault="00E00172" w:rsidP="00E00172">
      <w:pPr>
        <w:rPr>
          <w:rFonts w:ascii="Arial"/>
          <w:sz w:val="16"/>
        </w:rPr>
        <w:sectPr w:rsidR="00E00172">
          <w:type w:val="continuous"/>
          <w:pgSz w:w="12240" w:h="15840"/>
          <w:pgMar w:top="1180" w:right="1720" w:bottom="960" w:left="1720" w:header="720" w:footer="720" w:gutter="0"/>
          <w:cols w:num="2" w:space="720" w:equalWidth="0">
            <w:col w:w="1046" w:space="40"/>
            <w:col w:w="7714"/>
          </w:cols>
        </w:sectPr>
      </w:pPr>
    </w:p>
    <w:p w14:paraId="4123151C" w14:textId="77777777" w:rsidR="00E00172" w:rsidRDefault="00E00172" w:rsidP="00E00172">
      <w:pPr>
        <w:pStyle w:val="BodyText"/>
        <w:rPr>
          <w:rFonts w:ascii="Arial"/>
          <w:sz w:val="20"/>
        </w:rPr>
      </w:pPr>
    </w:p>
    <w:p w14:paraId="79EDA19E" w14:textId="77777777" w:rsidR="00E00172" w:rsidRDefault="00E00172" w:rsidP="00E00172">
      <w:pPr>
        <w:pStyle w:val="BodyText"/>
        <w:rPr>
          <w:rFonts w:ascii="Arial"/>
          <w:sz w:val="16"/>
        </w:rPr>
      </w:pPr>
    </w:p>
    <w:p w14:paraId="2C5E316C" w14:textId="77777777" w:rsidR="00E00172" w:rsidRDefault="00E00172" w:rsidP="00E00172">
      <w:pPr>
        <w:spacing w:before="91"/>
        <w:ind w:left="459"/>
        <w:rPr>
          <w:rFonts w:ascii="TimesNewRomanPS-BoldItalicMT"/>
          <w:b/>
          <w:i/>
        </w:rPr>
      </w:pPr>
      <w:r>
        <w:rPr>
          <w:rFonts w:ascii="TimesNewRomanPS-BoldItalicMT"/>
          <w:b/>
          <w:i/>
          <w:u w:val="single"/>
        </w:rPr>
        <w:t>Agreed and Accepted:</w:t>
      </w:r>
    </w:p>
    <w:p w14:paraId="349ABC00" w14:textId="77777777" w:rsidR="00E00172" w:rsidRDefault="00E00172" w:rsidP="00E00172">
      <w:pPr>
        <w:pStyle w:val="BodyText"/>
        <w:rPr>
          <w:rFonts w:ascii="TimesNewRomanPS-BoldItalicMT"/>
          <w:b/>
          <w:i/>
          <w:sz w:val="20"/>
        </w:rPr>
      </w:pPr>
    </w:p>
    <w:p w14:paraId="2F2B1595" w14:textId="77777777" w:rsidR="00E00172" w:rsidRDefault="00E00172" w:rsidP="00E00172">
      <w:pPr>
        <w:pStyle w:val="BodyText"/>
        <w:rPr>
          <w:rFonts w:ascii="TimesNewRomanPS-BoldItalicMT"/>
          <w:b/>
          <w:i/>
          <w:sz w:val="16"/>
        </w:rPr>
      </w:pPr>
    </w:p>
    <w:p w14:paraId="22E7B6D8" w14:textId="77777777" w:rsidR="00E00172" w:rsidRDefault="00E00172" w:rsidP="00E00172">
      <w:pPr>
        <w:pStyle w:val="BodyText"/>
        <w:spacing w:before="92"/>
        <w:ind w:left="459"/>
      </w:pPr>
      <w:r>
        <w:t>SELLER:</w:t>
      </w:r>
    </w:p>
    <w:p w14:paraId="2E5E3B69" w14:textId="77777777" w:rsidR="00E00172" w:rsidRDefault="00E00172" w:rsidP="00E00172">
      <w:pPr>
        <w:pStyle w:val="BodyText"/>
        <w:rPr>
          <w:sz w:val="20"/>
        </w:rPr>
      </w:pPr>
    </w:p>
    <w:p w14:paraId="7019F4CC" w14:textId="77777777" w:rsidR="00E00172" w:rsidRDefault="00E00172" w:rsidP="00E00172">
      <w:pPr>
        <w:pStyle w:val="BodyText"/>
        <w:rPr>
          <w:sz w:val="20"/>
        </w:rPr>
      </w:pPr>
    </w:p>
    <w:p w14:paraId="2ED12528" w14:textId="77777777" w:rsidR="00E00172" w:rsidRDefault="00E00172" w:rsidP="00E00172">
      <w:pPr>
        <w:pStyle w:val="BodyText"/>
        <w:spacing w:before="1"/>
        <w:rPr>
          <w:sz w:val="18"/>
        </w:rPr>
      </w:pPr>
    </w:p>
    <w:p w14:paraId="288B2A80" w14:textId="77777777" w:rsidR="00E00172" w:rsidRDefault="00E00172" w:rsidP="00E00172">
      <w:pPr>
        <w:rPr>
          <w:sz w:val="18"/>
        </w:rPr>
        <w:sectPr w:rsidR="00E00172">
          <w:type w:val="continuous"/>
          <w:pgSz w:w="12240" w:h="15840"/>
          <w:pgMar w:top="1180" w:right="1720" w:bottom="960" w:left="1720" w:header="720" w:footer="720" w:gutter="0"/>
          <w:cols w:space="720"/>
        </w:sectPr>
      </w:pPr>
    </w:p>
    <w:p w14:paraId="09777F60" w14:textId="1B244668" w:rsidR="00E00172" w:rsidRDefault="00E00172" w:rsidP="00E00172">
      <w:pPr>
        <w:pStyle w:val="BodyText"/>
        <w:tabs>
          <w:tab w:val="left" w:pos="4018"/>
          <w:tab w:val="left" w:pos="4073"/>
        </w:tabs>
        <w:spacing w:before="92" w:line="360" w:lineRule="auto"/>
        <w:ind w:left="459" w:right="38" w:hanging="1"/>
        <w:jc w:val="both"/>
      </w:pPr>
      <w:r>
        <w:t>By:</w:t>
      </w:r>
      <w:r w:rsidRPr="00E00172">
        <w:rPr>
          <w:spacing w:val="-1"/>
        </w:rPr>
        <w:t xml:space="preserve"> </w:t>
      </w:r>
      <w:r>
        <w:rPr>
          <w:spacing w:val="-1"/>
        </w:rPr>
        <w:t xml:space="preserve"> _______________________________</w:t>
      </w:r>
      <w:r>
        <w:tab/>
      </w:r>
      <w:r>
        <w:tab/>
      </w:r>
      <w:r>
        <w:rPr>
          <w:position w:val="-1"/>
        </w:rPr>
        <w:t>Date:</w:t>
      </w:r>
      <w:r>
        <w:rPr>
          <w:spacing w:val="-1"/>
        </w:rPr>
        <w:t>____________</w:t>
      </w:r>
    </w:p>
    <w:p w14:paraId="623DFE31" w14:textId="406F1256" w:rsidR="00E00172" w:rsidRDefault="00E00172" w:rsidP="00E00172">
      <w:pPr>
        <w:pStyle w:val="BodyText"/>
        <w:tabs>
          <w:tab w:val="left" w:pos="4018"/>
          <w:tab w:val="left" w:pos="4073"/>
        </w:tabs>
        <w:spacing w:before="92"/>
        <w:ind w:left="459" w:right="38" w:hanging="1"/>
        <w:jc w:val="both"/>
      </w:pPr>
      <w:r>
        <w:t>Name:</w:t>
      </w:r>
      <w:r w:rsidRPr="00E00172">
        <w:rPr>
          <w:spacing w:val="-1"/>
        </w:rPr>
        <w:t xml:space="preserve"> </w:t>
      </w:r>
      <w:r>
        <w:rPr>
          <w:spacing w:val="-1"/>
        </w:rPr>
        <w:t>_____________________________</w:t>
      </w:r>
    </w:p>
    <w:p w14:paraId="7DEA4876" w14:textId="6626EC5B" w:rsidR="00E00172" w:rsidRDefault="00E00172" w:rsidP="00E00172">
      <w:pPr>
        <w:pStyle w:val="BodyText"/>
        <w:tabs>
          <w:tab w:val="left" w:pos="4018"/>
          <w:tab w:val="left" w:pos="4073"/>
        </w:tabs>
        <w:spacing w:before="92"/>
        <w:ind w:left="459" w:right="38" w:hanging="1"/>
        <w:jc w:val="both"/>
      </w:pPr>
      <w:r>
        <w:t xml:space="preserve">Title: </w:t>
      </w:r>
      <w:r>
        <w:rPr>
          <w:spacing w:val="-1"/>
        </w:rPr>
        <w:softHyphen/>
      </w:r>
      <w:r>
        <w:rPr>
          <w:spacing w:val="-1"/>
        </w:rPr>
        <w:softHyphen/>
      </w:r>
      <w:r>
        <w:rPr>
          <w:spacing w:val="-1"/>
        </w:rPr>
        <w:softHyphen/>
      </w:r>
      <w:r>
        <w:rPr>
          <w:spacing w:val="-1"/>
        </w:rPr>
        <w:softHyphen/>
      </w:r>
      <w:r>
        <w:rPr>
          <w:spacing w:val="-1"/>
        </w:rPr>
        <w:softHyphen/>
      </w:r>
      <w:r>
        <w:rPr>
          <w:spacing w:val="-1"/>
        </w:rPr>
        <w:softHyphen/>
        <w:t>______________________________</w:t>
      </w:r>
    </w:p>
    <w:p w14:paraId="011AC320" w14:textId="77777777" w:rsidR="004C2448" w:rsidRDefault="004C2448">
      <w:pPr>
        <w:pStyle w:val="BodyText"/>
        <w:spacing w:before="1"/>
        <w:ind w:left="2619" w:right="418" w:hanging="2160"/>
        <w:jc w:val="both"/>
      </w:pPr>
    </w:p>
    <w:p w14:paraId="19D891C3" w14:textId="77777777" w:rsidR="00FF78B9" w:rsidRDefault="00FF78B9">
      <w:pPr>
        <w:jc w:val="both"/>
      </w:pPr>
    </w:p>
    <w:p w14:paraId="4967E81C" w14:textId="0F1C2E8D" w:rsidR="004C2448" w:rsidRDefault="004C2448" w:rsidP="004C2448">
      <w:pPr>
        <w:tabs>
          <w:tab w:val="left" w:pos="1747"/>
        </w:tabs>
      </w:pPr>
    </w:p>
    <w:p w14:paraId="230EEA53" w14:textId="32406180" w:rsidR="004C2448" w:rsidRPr="004C2448" w:rsidRDefault="004C2448" w:rsidP="004C2448">
      <w:pPr>
        <w:tabs>
          <w:tab w:val="left" w:pos="1747"/>
        </w:tabs>
        <w:sectPr w:rsidR="004C2448" w:rsidRPr="004C2448">
          <w:footerReference w:type="default" r:id="rId7"/>
          <w:type w:val="continuous"/>
          <w:pgSz w:w="12240" w:h="15840"/>
          <w:pgMar w:top="1180" w:right="1720" w:bottom="960" w:left="1720" w:header="720" w:footer="774" w:gutter="0"/>
          <w:pgNumType w:start="1"/>
          <w:cols w:space="720"/>
        </w:sectPr>
      </w:pPr>
      <w:r>
        <w:tab/>
      </w:r>
    </w:p>
    <w:p w14:paraId="1B7D8770" w14:textId="54A3AF55" w:rsidR="00FF78B9" w:rsidRDefault="008D3B83">
      <w:pPr>
        <w:pStyle w:val="BodyText"/>
        <w:tabs>
          <w:tab w:val="left" w:pos="2695"/>
        </w:tabs>
        <w:spacing w:before="92"/>
        <w:ind w:left="458"/>
      </w:pPr>
      <w:r>
        <w:br w:type="column"/>
      </w:r>
    </w:p>
    <w:sectPr w:rsidR="00FF78B9">
      <w:type w:val="continuous"/>
      <w:pgSz w:w="12240" w:h="15840"/>
      <w:pgMar w:top="1180" w:right="1720" w:bottom="960" w:left="1720" w:header="720" w:footer="720" w:gutter="0"/>
      <w:cols w:num="2" w:space="720" w:equalWidth="0">
        <w:col w:w="4114" w:space="396"/>
        <w:col w:w="42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E041D" w14:textId="77777777" w:rsidR="00B62518" w:rsidRDefault="00B62518">
      <w:r>
        <w:separator/>
      </w:r>
    </w:p>
  </w:endnote>
  <w:endnote w:type="continuationSeparator" w:id="0">
    <w:p w14:paraId="74312D7B" w14:textId="77777777" w:rsidR="00B62518" w:rsidRDefault="00B6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D44D" w14:textId="77777777" w:rsidR="00FF78B9" w:rsidRDefault="00B62518">
    <w:pPr>
      <w:pStyle w:val="BodyText"/>
      <w:spacing w:line="14" w:lineRule="auto"/>
      <w:rPr>
        <w:sz w:val="20"/>
      </w:rPr>
    </w:pPr>
    <w:r>
      <w:pict w14:anchorId="6FB1CB0D">
        <v:shapetype id="_x0000_t202" coordsize="21600,21600" o:spt="202" path="m,l,21600r21600,l21600,xe">
          <v:stroke joinstyle="miter"/>
          <v:path gradientshapeok="t" o:connecttype="rect"/>
        </v:shapetype>
        <v:shape id="_x0000_s2049" type="#_x0000_t202" alt="" style="position:absolute;margin-left:300.6pt;margin-top:742.3pt;width:12.75pt;height:15.65pt;z-index:-251658752;mso-wrap-style:square;mso-wrap-edited:f;mso-width-percent:0;mso-height-percent:0;mso-position-horizontal-relative:page;mso-position-vertical-relative:page;mso-width-percent:0;mso-height-percent:0;v-text-anchor:top" filled="f" stroked="f">
          <v:textbox inset="0,0,0,0">
            <w:txbxContent>
              <w:p w14:paraId="0D899652" w14:textId="77777777" w:rsidR="00FF78B9" w:rsidRDefault="008D3B83">
                <w:pPr>
                  <w:spacing w:before="20"/>
                  <w:ind w:left="60"/>
                  <w:rPr>
                    <w:rFonts w:ascii="Georgia"/>
                    <w:sz w:val="24"/>
                  </w:rPr>
                </w:pPr>
                <w:r>
                  <w:fldChar w:fldCharType="begin"/>
                </w:r>
                <w:r>
                  <w:rPr>
                    <w:rFonts w:ascii="Georgia"/>
                    <w:sz w:val="24"/>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5CF7A" w14:textId="77777777" w:rsidR="00B62518" w:rsidRDefault="00B62518">
      <w:r>
        <w:separator/>
      </w:r>
    </w:p>
  </w:footnote>
  <w:footnote w:type="continuationSeparator" w:id="0">
    <w:p w14:paraId="4CA2C915" w14:textId="77777777" w:rsidR="00B62518" w:rsidRDefault="00B62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A7052"/>
    <w:multiLevelType w:val="hybridMultilevel"/>
    <w:tmpl w:val="B836A4D0"/>
    <w:lvl w:ilvl="0" w:tplc="04090001">
      <w:start w:val="1"/>
      <w:numFmt w:val="bullet"/>
      <w:lvlText w:val=""/>
      <w:lvlJc w:val="left"/>
      <w:pPr>
        <w:ind w:left="3333" w:hanging="360"/>
      </w:pPr>
      <w:rPr>
        <w:rFonts w:ascii="Symbol" w:hAnsi="Symbol" w:hint="default"/>
      </w:rPr>
    </w:lvl>
    <w:lvl w:ilvl="1" w:tplc="04090003" w:tentative="1">
      <w:start w:val="1"/>
      <w:numFmt w:val="bullet"/>
      <w:lvlText w:val="o"/>
      <w:lvlJc w:val="left"/>
      <w:pPr>
        <w:ind w:left="4053" w:hanging="360"/>
      </w:pPr>
      <w:rPr>
        <w:rFonts w:ascii="Courier New" w:hAnsi="Courier New" w:cs="Courier New" w:hint="default"/>
      </w:rPr>
    </w:lvl>
    <w:lvl w:ilvl="2" w:tplc="04090005" w:tentative="1">
      <w:start w:val="1"/>
      <w:numFmt w:val="bullet"/>
      <w:lvlText w:val=""/>
      <w:lvlJc w:val="left"/>
      <w:pPr>
        <w:ind w:left="4773" w:hanging="360"/>
      </w:pPr>
      <w:rPr>
        <w:rFonts w:ascii="Wingdings" w:hAnsi="Wingdings" w:hint="default"/>
      </w:rPr>
    </w:lvl>
    <w:lvl w:ilvl="3" w:tplc="04090001" w:tentative="1">
      <w:start w:val="1"/>
      <w:numFmt w:val="bullet"/>
      <w:lvlText w:val=""/>
      <w:lvlJc w:val="left"/>
      <w:pPr>
        <w:ind w:left="5493" w:hanging="360"/>
      </w:pPr>
      <w:rPr>
        <w:rFonts w:ascii="Symbol" w:hAnsi="Symbol" w:hint="default"/>
      </w:rPr>
    </w:lvl>
    <w:lvl w:ilvl="4" w:tplc="04090003" w:tentative="1">
      <w:start w:val="1"/>
      <w:numFmt w:val="bullet"/>
      <w:lvlText w:val="o"/>
      <w:lvlJc w:val="left"/>
      <w:pPr>
        <w:ind w:left="6213" w:hanging="360"/>
      </w:pPr>
      <w:rPr>
        <w:rFonts w:ascii="Courier New" w:hAnsi="Courier New" w:cs="Courier New" w:hint="default"/>
      </w:rPr>
    </w:lvl>
    <w:lvl w:ilvl="5" w:tplc="04090005" w:tentative="1">
      <w:start w:val="1"/>
      <w:numFmt w:val="bullet"/>
      <w:lvlText w:val=""/>
      <w:lvlJc w:val="left"/>
      <w:pPr>
        <w:ind w:left="6933" w:hanging="360"/>
      </w:pPr>
      <w:rPr>
        <w:rFonts w:ascii="Wingdings" w:hAnsi="Wingdings" w:hint="default"/>
      </w:rPr>
    </w:lvl>
    <w:lvl w:ilvl="6" w:tplc="04090001" w:tentative="1">
      <w:start w:val="1"/>
      <w:numFmt w:val="bullet"/>
      <w:lvlText w:val=""/>
      <w:lvlJc w:val="left"/>
      <w:pPr>
        <w:ind w:left="7653" w:hanging="360"/>
      </w:pPr>
      <w:rPr>
        <w:rFonts w:ascii="Symbol" w:hAnsi="Symbol" w:hint="default"/>
      </w:rPr>
    </w:lvl>
    <w:lvl w:ilvl="7" w:tplc="04090003" w:tentative="1">
      <w:start w:val="1"/>
      <w:numFmt w:val="bullet"/>
      <w:lvlText w:val="o"/>
      <w:lvlJc w:val="left"/>
      <w:pPr>
        <w:ind w:left="8373" w:hanging="360"/>
      </w:pPr>
      <w:rPr>
        <w:rFonts w:ascii="Courier New" w:hAnsi="Courier New" w:cs="Courier New" w:hint="default"/>
      </w:rPr>
    </w:lvl>
    <w:lvl w:ilvl="8" w:tplc="04090005" w:tentative="1">
      <w:start w:val="1"/>
      <w:numFmt w:val="bullet"/>
      <w:lvlText w:val=""/>
      <w:lvlJc w:val="left"/>
      <w:pPr>
        <w:ind w:left="90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dgnword-docGUID" w:val="{83B4F667-88CF-46A2-AEDA-7A64EF81F35D}"/>
    <w:docVar w:name="dgnword-eventsink" w:val="719983832"/>
  </w:docVars>
  <w:rsids>
    <w:rsidRoot w:val="00FF78B9"/>
    <w:rsid w:val="00187D84"/>
    <w:rsid w:val="003410B8"/>
    <w:rsid w:val="00370E63"/>
    <w:rsid w:val="004B31F5"/>
    <w:rsid w:val="004C2448"/>
    <w:rsid w:val="00644AD6"/>
    <w:rsid w:val="008D3B83"/>
    <w:rsid w:val="00AA27CE"/>
    <w:rsid w:val="00B62518"/>
    <w:rsid w:val="00D834D5"/>
    <w:rsid w:val="00E00172"/>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A36BE3"/>
  <w15:docId w15:val="{5A077845-CCF3-9142-96BB-BF008632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left="4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LOI - Liberty Pointe - REM Capital.docx</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LOI - Liberty Pointe - REM Capital.docx</dc:title>
  <cp:lastModifiedBy>Rod Khleif</cp:lastModifiedBy>
  <cp:revision>2</cp:revision>
  <dcterms:created xsi:type="dcterms:W3CDTF">2020-01-02T19:06:00Z</dcterms:created>
  <dcterms:modified xsi:type="dcterms:W3CDTF">2020-01-02T19:06:00Z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Word</vt:lpwstr>
  </property>
  <property fmtid="{D5CDD505-2E9C-101B-9397-08002B2CF9AE}" pid="4" name="LastSaved">
    <vt:filetime>2019-12-04T00:00:00Z</vt:filetime>
  </property>
</Properties>
</file>